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3960"/>
      </w:tblGrid>
      <w:tr w:rsidR="00182B3B" w:rsidRPr="00E901BA" w:rsidTr="00182B3B">
        <w:tc>
          <w:tcPr>
            <w:tcW w:w="3960" w:type="dxa"/>
            <w:hideMark/>
          </w:tcPr>
          <w:p w:rsidR="00182B3B" w:rsidRPr="00E901BA" w:rsidRDefault="00182B3B">
            <w:pPr>
              <w:snapToGrid w:val="0"/>
              <w:jc w:val="center"/>
              <w:rPr>
                <w:b/>
                <w:bCs/>
                <w:lang w:val="ru-RU"/>
              </w:rPr>
            </w:pPr>
            <w:bookmarkStart w:id="0" w:name="_GoBack"/>
            <w:bookmarkEnd w:id="0"/>
            <w:r w:rsidRPr="00E901BA">
              <w:rPr>
                <w:noProof/>
                <w:lang w:val="sr-Latn-RS" w:eastAsia="sr-Latn-RS"/>
              </w:rPr>
              <w:drawing>
                <wp:inline distT="0" distB="0" distL="0" distR="0">
                  <wp:extent cx="52387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781050"/>
                          </a:xfrm>
                          <a:prstGeom prst="rect">
                            <a:avLst/>
                          </a:prstGeom>
                          <a:solidFill>
                            <a:srgbClr val="FFFFFF">
                              <a:alpha val="0"/>
                            </a:srgbClr>
                          </a:solidFill>
                          <a:ln>
                            <a:noFill/>
                          </a:ln>
                        </pic:spPr>
                      </pic:pic>
                    </a:graphicData>
                  </a:graphic>
                </wp:inline>
              </w:drawing>
            </w:r>
            <w:r w:rsidRPr="00E901BA">
              <w:rPr>
                <w:b/>
                <w:bCs/>
                <w:lang w:val="ru-RU"/>
              </w:rPr>
              <w:t xml:space="preserve">  </w:t>
            </w:r>
          </w:p>
        </w:tc>
      </w:tr>
      <w:tr w:rsidR="00182B3B" w:rsidRPr="00E901BA" w:rsidTr="00607F9A">
        <w:trPr>
          <w:trHeight w:val="1181"/>
        </w:trPr>
        <w:tc>
          <w:tcPr>
            <w:tcW w:w="3960" w:type="dxa"/>
            <w:hideMark/>
          </w:tcPr>
          <w:p w:rsidR="00182B3B" w:rsidRPr="00E901BA" w:rsidRDefault="00182B3B">
            <w:pPr>
              <w:snapToGrid w:val="0"/>
              <w:jc w:val="center"/>
              <w:rPr>
                <w:b/>
                <w:lang w:val="sr-Cyrl-CS"/>
              </w:rPr>
            </w:pPr>
            <w:r w:rsidRPr="00E901BA">
              <w:rPr>
                <w:b/>
                <w:lang w:val="sr-Cyrl-CS"/>
              </w:rPr>
              <w:t>Република Србија</w:t>
            </w:r>
          </w:p>
          <w:p w:rsidR="00182B3B" w:rsidRPr="00E901BA" w:rsidRDefault="00182B3B">
            <w:pPr>
              <w:jc w:val="center"/>
              <w:rPr>
                <w:b/>
                <w:bCs/>
                <w:lang w:val="sr-Cyrl-CS"/>
              </w:rPr>
            </w:pPr>
            <w:r w:rsidRPr="00E901BA">
              <w:rPr>
                <w:b/>
                <w:bCs/>
                <w:lang w:val="sr-Cyrl-CS"/>
              </w:rPr>
              <w:t>РЕПУБЛИЧКА ДИРЕКЦИЈА</w:t>
            </w:r>
          </w:p>
          <w:p w:rsidR="00182B3B" w:rsidRPr="00E901BA" w:rsidRDefault="00182B3B">
            <w:pPr>
              <w:jc w:val="center"/>
              <w:rPr>
                <w:b/>
                <w:bCs/>
                <w:lang w:val="sr-Cyrl-CS"/>
              </w:rPr>
            </w:pPr>
            <w:r w:rsidRPr="00E901BA">
              <w:rPr>
                <w:b/>
                <w:bCs/>
                <w:lang w:val="sr-Cyrl-CS"/>
              </w:rPr>
              <w:t>ЗА РОБНЕ РЕЗЕРВЕ</w:t>
            </w:r>
          </w:p>
          <w:p w:rsidR="00182B3B" w:rsidRPr="00E901BA" w:rsidRDefault="007913C3" w:rsidP="000D7096">
            <w:pPr>
              <w:rPr>
                <w:b/>
                <w:lang w:val="sr-Cyrl-RS"/>
              </w:rPr>
            </w:pPr>
            <w:r w:rsidRPr="00E901BA">
              <w:rPr>
                <w:b/>
                <w:lang w:val="sr-Cyrl-RS"/>
              </w:rPr>
              <w:t xml:space="preserve">            </w:t>
            </w:r>
            <w:r w:rsidR="00182B3B" w:rsidRPr="00E901BA">
              <w:rPr>
                <w:b/>
                <w:lang w:val="sr-Cyrl-RS"/>
              </w:rPr>
              <w:t>Б</w:t>
            </w:r>
            <w:r w:rsidR="00304758" w:rsidRPr="00E901BA">
              <w:rPr>
                <w:b/>
                <w:lang w:val="sr-Cyrl-CS"/>
              </w:rPr>
              <w:t>р:</w:t>
            </w:r>
            <w:r w:rsidR="00182B3B" w:rsidRPr="00E901BA">
              <w:rPr>
                <w:b/>
                <w:lang w:val="sr-Latn-RS"/>
              </w:rPr>
              <w:t xml:space="preserve"> </w:t>
            </w:r>
            <w:r w:rsidR="00607F9A">
              <w:rPr>
                <w:b/>
                <w:lang w:val="sr-Latn-RS"/>
              </w:rPr>
              <w:t>404-357/2017-03</w:t>
            </w:r>
          </w:p>
        </w:tc>
      </w:tr>
      <w:tr w:rsidR="00182B3B" w:rsidRPr="00E901BA" w:rsidTr="00182B3B">
        <w:tc>
          <w:tcPr>
            <w:tcW w:w="3960" w:type="dxa"/>
            <w:hideMark/>
          </w:tcPr>
          <w:p w:rsidR="000D7096" w:rsidRPr="00607F9A" w:rsidRDefault="00182B3B" w:rsidP="000D7096">
            <w:pPr>
              <w:snapToGrid w:val="0"/>
              <w:rPr>
                <w:b/>
                <w:lang w:val="sr-Cyrl-RS"/>
              </w:rPr>
            </w:pPr>
            <w:r w:rsidRPr="00E901BA">
              <w:rPr>
                <w:b/>
                <w:lang w:val="sr-Latn-CS"/>
              </w:rPr>
              <w:t xml:space="preserve">         </w:t>
            </w:r>
            <w:r w:rsidRPr="00E901BA">
              <w:rPr>
                <w:b/>
                <w:lang w:val="sr-Cyrl-CS"/>
              </w:rPr>
              <w:t xml:space="preserve"> </w:t>
            </w:r>
            <w:r w:rsidRPr="00E901BA">
              <w:rPr>
                <w:b/>
                <w:lang w:val="sr-Cyrl-RS"/>
              </w:rPr>
              <w:t>Датум:</w:t>
            </w:r>
            <w:r w:rsidR="00607F9A">
              <w:rPr>
                <w:b/>
                <w:lang w:val="sr-Latn-RS"/>
              </w:rPr>
              <w:t>30.06.2017.године</w:t>
            </w:r>
          </w:p>
          <w:p w:rsidR="00182B3B" w:rsidRPr="00E901BA" w:rsidRDefault="00182B3B" w:rsidP="000D7096">
            <w:pPr>
              <w:snapToGrid w:val="0"/>
              <w:rPr>
                <w:b/>
                <w:lang w:val="sr-Cyrl-CS"/>
              </w:rPr>
            </w:pPr>
            <w:r w:rsidRPr="00E901BA">
              <w:rPr>
                <w:b/>
                <w:lang w:val="sr-Cyrl-CS"/>
              </w:rPr>
              <w:t xml:space="preserve">                 </w:t>
            </w:r>
            <w:r w:rsidRPr="00E901BA">
              <w:rPr>
                <w:b/>
                <w:lang w:val="sr-Latn-RS"/>
              </w:rPr>
              <w:t xml:space="preserve">  </w:t>
            </w:r>
            <w:r w:rsidRPr="00E901BA">
              <w:rPr>
                <w:b/>
                <w:lang w:val="sr-Cyrl-CS"/>
              </w:rPr>
              <w:t xml:space="preserve"> Б е о г р а д</w:t>
            </w:r>
          </w:p>
        </w:tc>
      </w:tr>
    </w:tbl>
    <w:p w:rsidR="00182B3B" w:rsidRPr="00E901BA" w:rsidRDefault="00182B3B" w:rsidP="00182B3B"/>
    <w:p w:rsidR="000D7096" w:rsidRPr="00E901BA" w:rsidRDefault="000D7096" w:rsidP="000D7096"/>
    <w:p w:rsidR="000D7096" w:rsidRPr="00E901BA" w:rsidRDefault="000D7096" w:rsidP="000D7096">
      <w:pPr>
        <w:ind w:left="708"/>
        <w:jc w:val="both"/>
        <w:rPr>
          <w:b/>
          <w:lang w:val="sr-Cyrl-RS"/>
        </w:rPr>
      </w:pPr>
      <w:r w:rsidRPr="00E901BA">
        <w:rPr>
          <w:b/>
          <w:lang w:val="sr-Cyrl-RS"/>
        </w:rPr>
        <w:t xml:space="preserve">Предмет: </w:t>
      </w:r>
      <w:r w:rsidRPr="00E901BA">
        <w:rPr>
          <w:lang w:val="sr-Cyrl-RS"/>
        </w:rPr>
        <w:t>Одговор на питање</w:t>
      </w:r>
      <w:r w:rsidR="00F80D4F">
        <w:rPr>
          <w:lang w:val="sr-Cyrl-RS"/>
        </w:rPr>
        <w:t xml:space="preserve"> бр.1</w:t>
      </w:r>
      <w:r w:rsidRPr="00E901BA">
        <w:rPr>
          <w:lang w:val="sr-Cyrl-RS"/>
        </w:rPr>
        <w:t xml:space="preserve"> у вези</w:t>
      </w:r>
      <w:r w:rsidRPr="00E901BA">
        <w:rPr>
          <w:b/>
          <w:lang w:val="sr-Cyrl-RS"/>
        </w:rPr>
        <w:t xml:space="preserve"> </w:t>
      </w:r>
      <w:r w:rsidRPr="00E901BA">
        <w:rPr>
          <w:lang w:val="sr-Cyrl-RS"/>
        </w:rPr>
        <w:t>конкурсне документације за јавну набавку</w:t>
      </w:r>
      <w:r w:rsidRPr="00E901BA">
        <w:rPr>
          <w:bCs/>
          <w:lang w:val="sr-Cyrl-RS"/>
        </w:rPr>
        <w:t xml:space="preserve"> радова – израда пројектне документације за изградњу и извођење радов</w:t>
      </w:r>
      <w:r w:rsidR="0036128D">
        <w:rPr>
          <w:bCs/>
          <w:lang w:val="sr-Cyrl-RS"/>
        </w:rPr>
        <w:t>а</w:t>
      </w:r>
      <w:r w:rsidRPr="00E901BA">
        <w:rPr>
          <w:bCs/>
          <w:lang w:val="sr-Cyrl-RS"/>
        </w:rPr>
        <w:t xml:space="preserve"> на изградњи аутопретакалишта на складишту нафтних деривата Пожега у Пожеги                 ЈН број  </w:t>
      </w:r>
      <w:r w:rsidRPr="00E901BA">
        <w:rPr>
          <w:bCs/>
          <w:lang w:val="sr-Latn-RS"/>
        </w:rPr>
        <w:t>3</w:t>
      </w:r>
      <w:r w:rsidRPr="00E901BA">
        <w:rPr>
          <w:bCs/>
          <w:lang w:val="sr-Cyrl-RS"/>
        </w:rPr>
        <w:t>/2017-03.</w:t>
      </w:r>
      <w:r w:rsidRPr="00E901BA">
        <w:rPr>
          <w:b/>
          <w:lang w:val="sr-Cyrl-RS"/>
        </w:rPr>
        <w:tab/>
      </w:r>
    </w:p>
    <w:p w:rsidR="000D7096" w:rsidRPr="00E901BA" w:rsidRDefault="000D7096" w:rsidP="000D7096">
      <w:pPr>
        <w:rPr>
          <w:b/>
          <w:lang w:val="sr-Cyrl-RS"/>
        </w:rPr>
      </w:pPr>
    </w:p>
    <w:p w:rsidR="000D7096" w:rsidRPr="00E901BA" w:rsidRDefault="000D7096" w:rsidP="000D7096">
      <w:pPr>
        <w:rPr>
          <w:b/>
          <w:lang w:val="sr-Cyrl-RS"/>
        </w:rPr>
      </w:pPr>
      <w:r w:rsidRPr="00E901BA">
        <w:rPr>
          <w:b/>
          <w:lang w:val="sr-Cyrl-RS"/>
        </w:rPr>
        <w:t>Питање:</w:t>
      </w:r>
    </w:p>
    <w:p w:rsidR="000D7096" w:rsidRPr="00E901BA" w:rsidRDefault="000D7096" w:rsidP="000D7096">
      <w:pPr>
        <w:pStyle w:val="Default"/>
        <w:rPr>
          <w:rFonts w:ascii="Times New Roman" w:hAnsi="Times New Roman" w:cs="Times New Roman"/>
          <w:b/>
          <w:bCs/>
        </w:rPr>
      </w:pPr>
    </w:p>
    <w:p w:rsidR="000D7096" w:rsidRPr="00E901BA" w:rsidRDefault="000D7096" w:rsidP="000D7096">
      <w:pPr>
        <w:pStyle w:val="Default"/>
        <w:jc w:val="both"/>
        <w:rPr>
          <w:rFonts w:ascii="Times New Roman" w:hAnsi="Times New Roman" w:cs="Times New Roman"/>
        </w:rPr>
      </w:pPr>
      <w:r w:rsidRPr="00E901BA">
        <w:rPr>
          <w:rFonts w:ascii="Times New Roman" w:hAnsi="Times New Roman" w:cs="Times New Roman"/>
        </w:rPr>
        <w:t xml:space="preserve">Пословни капацитет у Конкурсној документацији предвиђа да понуђач има референце пројектовања и извођења радова у последњих пет година за најмање два уговора по принципу ''кључ у руке'' за постројења за утакање нафте и нафтних деривата у аутоцистерне укупне вредности не мање од 200.000.000,00 динара. </w:t>
      </w:r>
    </w:p>
    <w:p w:rsidR="000D7096" w:rsidRPr="00E901BA" w:rsidRDefault="000D7096" w:rsidP="000D7096">
      <w:pPr>
        <w:pStyle w:val="Default"/>
        <w:jc w:val="both"/>
        <w:rPr>
          <w:rFonts w:ascii="Times New Roman" w:hAnsi="Times New Roman" w:cs="Times New Roman"/>
        </w:rPr>
      </w:pPr>
      <w:r w:rsidRPr="00E901BA">
        <w:rPr>
          <w:rFonts w:ascii="Times New Roman" w:hAnsi="Times New Roman" w:cs="Times New Roman"/>
        </w:rPr>
        <w:t xml:space="preserve">На нашем тржишту није било изградње објекта сличних особина чија укупна инвестициона вредност одговара траженој вредности референтних испорука у наведеном периоду. На тај начин домаћи понуђачи се доводе у неравноправан положај и тиме се доводи у питање Начело обезбеђивања конкурентности сагласно Члану 10 ЗЈН и Начело једнакости понуђача сагласно Члану 12 ЗЈН. </w:t>
      </w:r>
    </w:p>
    <w:p w:rsidR="000D7096" w:rsidRPr="00E901BA" w:rsidRDefault="000D7096" w:rsidP="000D7096">
      <w:pPr>
        <w:pStyle w:val="Default"/>
        <w:jc w:val="both"/>
        <w:rPr>
          <w:rFonts w:ascii="Times New Roman" w:hAnsi="Times New Roman" w:cs="Times New Roman"/>
        </w:rPr>
      </w:pPr>
      <w:r w:rsidRPr="00E901BA">
        <w:rPr>
          <w:rFonts w:ascii="Times New Roman" w:hAnsi="Times New Roman" w:cs="Times New Roman"/>
        </w:rPr>
        <w:t xml:space="preserve">Молимо да смањите финансијски лимит признавања минимум две референце на износ од динарског еквивалента од 500.000 еур. Тиме се потенцијално увећава број компанија које су заинтересоване за израду понуде, а које могу демонстрирати референце како се траже. Резултат ће бити увећање конкуренције и може се очекивати нижа инвестициона вредност целог пројекта. </w:t>
      </w:r>
    </w:p>
    <w:p w:rsidR="000D7096" w:rsidRPr="00E901BA" w:rsidRDefault="000D7096" w:rsidP="00E901BA">
      <w:pPr>
        <w:pStyle w:val="Default"/>
        <w:jc w:val="both"/>
        <w:rPr>
          <w:rFonts w:ascii="Times New Roman" w:hAnsi="Times New Roman" w:cs="Times New Roman"/>
        </w:rPr>
      </w:pPr>
    </w:p>
    <w:p w:rsidR="007B7963" w:rsidRPr="00E901BA" w:rsidRDefault="000D7096" w:rsidP="007B7963">
      <w:pPr>
        <w:pStyle w:val="Default"/>
        <w:jc w:val="both"/>
        <w:rPr>
          <w:rFonts w:ascii="Times New Roman" w:hAnsi="Times New Roman" w:cs="Times New Roman"/>
          <w:lang w:val="sr-Cyrl-RS"/>
        </w:rPr>
      </w:pPr>
      <w:r w:rsidRPr="00E901BA">
        <w:rPr>
          <w:rFonts w:ascii="Times New Roman" w:hAnsi="Times New Roman" w:cs="Times New Roman"/>
          <w:b/>
          <w:lang w:val="sr-Cyrl-RS"/>
        </w:rPr>
        <w:t xml:space="preserve">Одговор: </w:t>
      </w:r>
      <w:r w:rsidR="00E901BA">
        <w:rPr>
          <w:rFonts w:ascii="Times New Roman" w:hAnsi="Times New Roman" w:cs="Times New Roman"/>
          <w:b/>
          <w:lang w:val="sr-Cyrl-RS"/>
        </w:rPr>
        <w:t xml:space="preserve"> </w:t>
      </w:r>
      <w:r w:rsidR="007B7963">
        <w:rPr>
          <w:rFonts w:ascii="Times New Roman" w:hAnsi="Times New Roman" w:cs="Times New Roman"/>
          <w:lang w:val="sr-Cyrl-RS"/>
        </w:rPr>
        <w:t>Наручилац у свему остаје при условима датим у Конкурсној документацији.</w:t>
      </w:r>
    </w:p>
    <w:p w:rsidR="00E14B5A" w:rsidRPr="00090258" w:rsidRDefault="00E14B5A" w:rsidP="007B7963">
      <w:pPr>
        <w:pStyle w:val="Default"/>
        <w:jc w:val="both"/>
        <w:rPr>
          <w:rFonts w:ascii="Times New Roman" w:hAnsi="Times New Roman" w:cs="Times New Roman"/>
          <w:bCs/>
        </w:rPr>
      </w:pPr>
    </w:p>
    <w:p w:rsidR="000D7096" w:rsidRPr="00E901BA" w:rsidRDefault="000D7096" w:rsidP="000D7096">
      <w:pPr>
        <w:pStyle w:val="Default"/>
        <w:rPr>
          <w:rFonts w:ascii="Times New Roman" w:hAnsi="Times New Roman" w:cs="Times New Roman"/>
          <w:b/>
          <w:bCs/>
        </w:rPr>
      </w:pPr>
      <w:r w:rsidRPr="00E901BA">
        <w:rPr>
          <w:rFonts w:ascii="Times New Roman" w:hAnsi="Times New Roman" w:cs="Times New Roman"/>
          <w:b/>
          <w:bCs/>
        </w:rPr>
        <w:t>Питање</w:t>
      </w:r>
      <w:r w:rsidR="00E901BA">
        <w:rPr>
          <w:rFonts w:ascii="Times New Roman" w:hAnsi="Times New Roman" w:cs="Times New Roman"/>
          <w:b/>
          <w:bCs/>
        </w:rPr>
        <w:t>:</w:t>
      </w:r>
      <w:r w:rsidRPr="00E901BA">
        <w:rPr>
          <w:rFonts w:ascii="Times New Roman" w:hAnsi="Times New Roman" w:cs="Times New Roman"/>
          <w:b/>
          <w:bCs/>
        </w:rPr>
        <w:t xml:space="preserve"> </w:t>
      </w:r>
    </w:p>
    <w:p w:rsidR="000D7096" w:rsidRPr="00E901BA" w:rsidRDefault="000D7096" w:rsidP="000D7096">
      <w:pPr>
        <w:pStyle w:val="Default"/>
        <w:rPr>
          <w:rFonts w:ascii="Times New Roman" w:hAnsi="Times New Roman" w:cs="Times New Roman"/>
        </w:rPr>
      </w:pPr>
    </w:p>
    <w:p w:rsidR="000D7096" w:rsidRPr="00E901BA" w:rsidRDefault="000D7096" w:rsidP="000D7096">
      <w:pPr>
        <w:pStyle w:val="Default"/>
        <w:jc w:val="both"/>
        <w:rPr>
          <w:rFonts w:ascii="Times New Roman" w:hAnsi="Times New Roman" w:cs="Times New Roman"/>
        </w:rPr>
      </w:pPr>
      <w:r w:rsidRPr="00E901BA">
        <w:rPr>
          <w:rFonts w:ascii="Times New Roman" w:hAnsi="Times New Roman" w:cs="Times New Roman"/>
        </w:rPr>
        <w:t xml:space="preserve">За доказивање поменутих референци тражите попуњен, потписан и оверен образац Преглед референтних наручилаца, Потврду референтног наручиоца на Обрасцу датом у Конкурсној документацији, као и Копије уговора. </w:t>
      </w:r>
    </w:p>
    <w:p w:rsidR="000D7096" w:rsidRPr="00E901BA" w:rsidRDefault="000D7096" w:rsidP="000D7096">
      <w:pPr>
        <w:pStyle w:val="Default"/>
        <w:jc w:val="both"/>
        <w:rPr>
          <w:rFonts w:ascii="Times New Roman" w:hAnsi="Times New Roman" w:cs="Times New Roman"/>
        </w:rPr>
      </w:pPr>
      <w:r w:rsidRPr="00E901BA">
        <w:rPr>
          <w:rFonts w:ascii="Times New Roman" w:hAnsi="Times New Roman" w:cs="Times New Roman"/>
        </w:rPr>
        <w:t xml:space="preserve">Ради се о Уговорима који су, по правилу, поверљивог садржаја. Сматрамо да је довољно дати Потврде референтних наручилаца уз попуњен, потписан и оверен образац Преглед референтних наручилаца. Уколико неки понуђач жели и може да приложи Уговор(е) потребно је то омогућити, тако да се фраза у Тендерској документацији Пословни капацитет тачка 4 на страни 21 од 56 '' ...., као и копије Уговора'' замени са ''... или копијама Уговора''. </w:t>
      </w:r>
    </w:p>
    <w:p w:rsidR="002761E6" w:rsidRPr="00E901BA" w:rsidRDefault="002761E6" w:rsidP="000D7096">
      <w:pPr>
        <w:pStyle w:val="Default"/>
        <w:jc w:val="both"/>
        <w:rPr>
          <w:rFonts w:ascii="Times New Roman" w:hAnsi="Times New Roman" w:cs="Times New Roman"/>
        </w:rPr>
      </w:pPr>
    </w:p>
    <w:p w:rsidR="00E14B5A" w:rsidRPr="00E14B5A" w:rsidRDefault="000D7096" w:rsidP="00090258">
      <w:pPr>
        <w:shd w:val="clear" w:color="auto" w:fill="FFFFFF"/>
        <w:jc w:val="both"/>
        <w:rPr>
          <w:lang w:val="sr-Cyrl-CS" w:eastAsia="en-US"/>
        </w:rPr>
      </w:pPr>
      <w:r w:rsidRPr="00E901BA">
        <w:rPr>
          <w:b/>
          <w:lang w:val="sr-Cyrl-RS"/>
        </w:rPr>
        <w:t>Одговор:</w:t>
      </w:r>
      <w:r w:rsidR="002761E6" w:rsidRPr="00E901BA">
        <w:rPr>
          <w:lang w:val="sr-Cyrl-RS"/>
        </w:rPr>
        <w:t xml:space="preserve"> </w:t>
      </w:r>
      <w:r w:rsidR="00E14B5A" w:rsidRPr="00E14B5A">
        <w:rPr>
          <w:lang w:val="sr-Cyrl-CS" w:eastAsia="en-US"/>
        </w:rPr>
        <w:t>Наручилац остаје при ставу да је Понуђач у обавези да достави и копије уговора.</w:t>
      </w:r>
    </w:p>
    <w:p w:rsidR="00E14B5A" w:rsidRPr="00E14B5A" w:rsidRDefault="00E14B5A" w:rsidP="00E14B5A">
      <w:pPr>
        <w:shd w:val="clear" w:color="auto" w:fill="FFFFFF"/>
        <w:rPr>
          <w:bCs/>
          <w:color w:val="FF0000"/>
          <w:lang w:val="sr-Cyrl-RS"/>
        </w:rPr>
      </w:pPr>
      <w:r w:rsidRPr="00E14B5A">
        <w:rPr>
          <w:lang w:val="sr-Cyrl-CS" w:eastAsia="en-US"/>
        </w:rPr>
        <w:t>Уколико Понуђач сматра да су неки подаци из понуде Поверљиви треба да их означи у понуди , а Наручилац ће у том случају поступити у складу са чланом 14. став1.тачка1) Закона о јавним набавкама.</w:t>
      </w:r>
    </w:p>
    <w:p w:rsidR="00E14B5A" w:rsidRDefault="00E14B5A" w:rsidP="000D7096">
      <w:pPr>
        <w:pStyle w:val="Default"/>
        <w:jc w:val="both"/>
        <w:rPr>
          <w:rFonts w:ascii="Times New Roman" w:hAnsi="Times New Roman" w:cs="Times New Roman"/>
          <w:lang w:val="sr-Cyrl-RS"/>
        </w:rPr>
      </w:pPr>
    </w:p>
    <w:p w:rsidR="000D7096" w:rsidRPr="00E901BA" w:rsidRDefault="000D7096" w:rsidP="000D7096">
      <w:pPr>
        <w:pStyle w:val="Default"/>
        <w:jc w:val="both"/>
        <w:rPr>
          <w:rFonts w:ascii="Times New Roman" w:hAnsi="Times New Roman" w:cs="Times New Roman"/>
          <w:b/>
          <w:bCs/>
          <w:lang w:val="sr-Cyrl-RS"/>
        </w:rPr>
      </w:pPr>
      <w:r w:rsidRPr="00E901BA">
        <w:rPr>
          <w:rFonts w:ascii="Times New Roman" w:hAnsi="Times New Roman" w:cs="Times New Roman"/>
          <w:b/>
          <w:lang w:val="sr-Cyrl-RS"/>
        </w:rPr>
        <w:t>Пи</w:t>
      </w:r>
      <w:r w:rsidRPr="00E901BA">
        <w:rPr>
          <w:rFonts w:ascii="Times New Roman" w:hAnsi="Times New Roman" w:cs="Times New Roman"/>
          <w:b/>
          <w:bCs/>
        </w:rPr>
        <w:t>тање</w:t>
      </w:r>
      <w:r w:rsidRPr="00E901BA">
        <w:rPr>
          <w:rFonts w:ascii="Times New Roman" w:hAnsi="Times New Roman" w:cs="Times New Roman"/>
          <w:b/>
          <w:bCs/>
          <w:lang w:val="sr-Cyrl-RS"/>
        </w:rPr>
        <w:t>:</w:t>
      </w:r>
      <w:r w:rsidR="00E14B5A">
        <w:rPr>
          <w:rFonts w:ascii="Times New Roman" w:hAnsi="Times New Roman" w:cs="Times New Roman"/>
          <w:b/>
          <w:bCs/>
          <w:lang w:val="sr-Cyrl-RS"/>
        </w:rPr>
        <w:t xml:space="preserve"> </w:t>
      </w:r>
    </w:p>
    <w:p w:rsidR="000D7096" w:rsidRPr="00E901BA" w:rsidRDefault="000D7096" w:rsidP="000D7096">
      <w:pPr>
        <w:pStyle w:val="Default"/>
        <w:jc w:val="both"/>
        <w:rPr>
          <w:rFonts w:ascii="Times New Roman" w:hAnsi="Times New Roman" w:cs="Times New Roman"/>
        </w:rPr>
      </w:pPr>
      <w:r w:rsidRPr="00E901BA">
        <w:rPr>
          <w:rFonts w:ascii="Times New Roman" w:hAnsi="Times New Roman" w:cs="Times New Roman"/>
          <w:b/>
          <w:bCs/>
        </w:rPr>
        <w:t xml:space="preserve"> </w:t>
      </w:r>
    </w:p>
    <w:p w:rsidR="000D7096" w:rsidRPr="00E901BA" w:rsidRDefault="000D7096" w:rsidP="000D7096">
      <w:pPr>
        <w:pStyle w:val="Default"/>
        <w:jc w:val="both"/>
        <w:rPr>
          <w:rFonts w:ascii="Times New Roman" w:hAnsi="Times New Roman" w:cs="Times New Roman"/>
        </w:rPr>
      </w:pPr>
      <w:r w:rsidRPr="00E901BA">
        <w:rPr>
          <w:rFonts w:ascii="Times New Roman" w:hAnsi="Times New Roman" w:cs="Times New Roman"/>
        </w:rPr>
        <w:t xml:space="preserve">Сагласно тачки 9. Конкурсне документације цена је фиксна, не може се мењати и исказује се у динарима. </w:t>
      </w:r>
    </w:p>
    <w:p w:rsidR="000D7096" w:rsidRPr="00E901BA" w:rsidRDefault="000D7096" w:rsidP="000D7096">
      <w:pPr>
        <w:pStyle w:val="Default"/>
        <w:jc w:val="both"/>
        <w:rPr>
          <w:rFonts w:ascii="Times New Roman" w:hAnsi="Times New Roman" w:cs="Times New Roman"/>
        </w:rPr>
      </w:pPr>
      <w:r w:rsidRPr="00E901BA">
        <w:rPr>
          <w:rFonts w:ascii="Times New Roman" w:hAnsi="Times New Roman" w:cs="Times New Roman"/>
        </w:rPr>
        <w:t xml:space="preserve">Како је реализација уговора предвиђена до краја 2018. године, потребно је да се омогући исказивање фиксне цене у еурима, а да се фактурисање и плаћање врши у динарима по средњем курсу НБС на дан фактурисања. Овакво решење је предвиђено и Чланом 19 ЗЈН. </w:t>
      </w:r>
    </w:p>
    <w:p w:rsidR="000D7096" w:rsidRPr="00E901BA" w:rsidRDefault="000D7096" w:rsidP="000D7096">
      <w:pPr>
        <w:pStyle w:val="Default"/>
        <w:jc w:val="both"/>
        <w:rPr>
          <w:rFonts w:ascii="Times New Roman" w:hAnsi="Times New Roman" w:cs="Times New Roman"/>
        </w:rPr>
      </w:pPr>
    </w:p>
    <w:p w:rsidR="000D7096" w:rsidRPr="00E901BA" w:rsidRDefault="000D7096" w:rsidP="00090258">
      <w:pPr>
        <w:pStyle w:val="Default"/>
        <w:jc w:val="both"/>
        <w:rPr>
          <w:rFonts w:ascii="Times New Roman" w:hAnsi="Times New Roman" w:cs="Times New Roman"/>
          <w:lang w:val="sr-Cyrl-RS"/>
        </w:rPr>
      </w:pPr>
      <w:r w:rsidRPr="00E901BA">
        <w:rPr>
          <w:rFonts w:ascii="Times New Roman" w:hAnsi="Times New Roman" w:cs="Times New Roman"/>
          <w:b/>
          <w:lang w:val="sr-Cyrl-RS"/>
        </w:rPr>
        <w:t>Одговор:</w:t>
      </w:r>
      <w:r w:rsidR="00E901BA">
        <w:rPr>
          <w:rFonts w:ascii="Times New Roman" w:hAnsi="Times New Roman" w:cs="Times New Roman"/>
          <w:lang w:val="sr-Cyrl-RS"/>
        </w:rPr>
        <w:t xml:space="preserve"> </w:t>
      </w:r>
      <w:r w:rsidR="00E14B5A">
        <w:rPr>
          <w:rFonts w:ascii="Times New Roman" w:hAnsi="Times New Roman" w:cs="Times New Roman"/>
          <w:lang w:val="sr-Cyrl-RS"/>
        </w:rPr>
        <w:t>Наручилац у свему остаје при условима датим у Конкурсној документацији.</w:t>
      </w:r>
    </w:p>
    <w:p w:rsidR="000D7096" w:rsidRPr="00E901BA" w:rsidRDefault="000D7096" w:rsidP="000D7096">
      <w:pPr>
        <w:pStyle w:val="Default"/>
        <w:rPr>
          <w:rFonts w:ascii="Times New Roman" w:hAnsi="Times New Roman" w:cs="Times New Roman"/>
        </w:rPr>
      </w:pPr>
    </w:p>
    <w:p w:rsidR="000D7096" w:rsidRPr="00E901BA" w:rsidRDefault="000D7096" w:rsidP="000D7096">
      <w:pPr>
        <w:pStyle w:val="Default"/>
        <w:rPr>
          <w:rFonts w:ascii="Times New Roman" w:hAnsi="Times New Roman" w:cs="Times New Roman"/>
          <w:b/>
          <w:bCs/>
        </w:rPr>
      </w:pPr>
      <w:r w:rsidRPr="00E901BA">
        <w:rPr>
          <w:rFonts w:ascii="Times New Roman" w:hAnsi="Times New Roman" w:cs="Times New Roman"/>
          <w:b/>
          <w:bCs/>
        </w:rPr>
        <w:t>Питање:</w:t>
      </w:r>
    </w:p>
    <w:p w:rsidR="000D7096" w:rsidRPr="00E901BA" w:rsidRDefault="000D7096" w:rsidP="000D7096">
      <w:pPr>
        <w:pStyle w:val="Default"/>
        <w:rPr>
          <w:rFonts w:ascii="Times New Roman" w:hAnsi="Times New Roman" w:cs="Times New Roman"/>
        </w:rPr>
      </w:pPr>
    </w:p>
    <w:p w:rsidR="000D7096" w:rsidRPr="00E901BA" w:rsidRDefault="000D7096" w:rsidP="000D7096">
      <w:pPr>
        <w:pStyle w:val="Default"/>
        <w:jc w:val="both"/>
        <w:rPr>
          <w:rFonts w:ascii="Times New Roman" w:hAnsi="Times New Roman" w:cs="Times New Roman"/>
        </w:rPr>
      </w:pPr>
      <w:r w:rsidRPr="00E901BA">
        <w:rPr>
          <w:rFonts w:ascii="Times New Roman" w:hAnsi="Times New Roman" w:cs="Times New Roman"/>
        </w:rPr>
        <w:t xml:space="preserve">Конкурсном документацијом је предвиђено да гарантни рок од 36 месеци буде покривен банкарском гаранцијом која износи 10% уговорене вредности плус припадајући ПДВ. </w:t>
      </w:r>
    </w:p>
    <w:p w:rsidR="000D7096" w:rsidRPr="00E901BA" w:rsidRDefault="000D7096" w:rsidP="000D7096">
      <w:pPr>
        <w:pStyle w:val="Default"/>
        <w:jc w:val="both"/>
        <w:rPr>
          <w:rFonts w:ascii="Times New Roman" w:hAnsi="Times New Roman" w:cs="Times New Roman"/>
        </w:rPr>
      </w:pPr>
      <w:r w:rsidRPr="00E901BA">
        <w:rPr>
          <w:rFonts w:ascii="Times New Roman" w:hAnsi="Times New Roman" w:cs="Times New Roman"/>
        </w:rPr>
        <w:t xml:space="preserve">Ово је велики износ за ову врсту гаранције. Пословно је широко прихваћено да се гаранције за гарантни рок издају на вредности од 3 до 5% уговорене вредности. Лепо молимо да размотрите овај предлог. </w:t>
      </w:r>
    </w:p>
    <w:p w:rsidR="000D7096" w:rsidRPr="00E901BA" w:rsidRDefault="000D7096" w:rsidP="000D7096">
      <w:pPr>
        <w:pStyle w:val="Default"/>
        <w:jc w:val="both"/>
        <w:rPr>
          <w:rFonts w:ascii="Times New Roman" w:hAnsi="Times New Roman" w:cs="Times New Roman"/>
        </w:rPr>
      </w:pPr>
    </w:p>
    <w:p w:rsidR="000D7096" w:rsidRDefault="000D7096" w:rsidP="00090258">
      <w:pPr>
        <w:pStyle w:val="Default"/>
        <w:rPr>
          <w:rFonts w:ascii="Times New Roman" w:hAnsi="Times New Roman" w:cs="Times New Roman"/>
          <w:lang w:val="sr-Cyrl-RS"/>
        </w:rPr>
      </w:pPr>
      <w:r w:rsidRPr="00E901BA">
        <w:rPr>
          <w:rFonts w:ascii="Times New Roman" w:hAnsi="Times New Roman" w:cs="Times New Roman"/>
          <w:b/>
          <w:lang w:val="sr-Cyrl-RS"/>
        </w:rPr>
        <w:t>Одговор:</w:t>
      </w:r>
      <w:r w:rsidR="00E901BA">
        <w:rPr>
          <w:rFonts w:ascii="Times New Roman" w:hAnsi="Times New Roman" w:cs="Times New Roman"/>
          <w:lang w:val="sr-Cyrl-RS"/>
        </w:rPr>
        <w:t xml:space="preserve"> </w:t>
      </w:r>
      <w:r w:rsidR="00E14B5A">
        <w:rPr>
          <w:rFonts w:ascii="Times New Roman" w:hAnsi="Times New Roman" w:cs="Times New Roman"/>
          <w:lang w:val="sr-Cyrl-RS"/>
        </w:rPr>
        <w:t>Наручилац у свему остаје при условима датим у Конкурсној документацији.</w:t>
      </w:r>
    </w:p>
    <w:p w:rsidR="00E14B5A" w:rsidRPr="00E901BA" w:rsidRDefault="00E14B5A" w:rsidP="00090258">
      <w:pPr>
        <w:pStyle w:val="Default"/>
        <w:rPr>
          <w:rFonts w:ascii="Times New Roman" w:hAnsi="Times New Roman" w:cs="Times New Roman"/>
        </w:rPr>
      </w:pPr>
    </w:p>
    <w:p w:rsidR="000D7096" w:rsidRPr="00E901BA" w:rsidRDefault="000D7096" w:rsidP="000D7096">
      <w:pPr>
        <w:pStyle w:val="Default"/>
        <w:rPr>
          <w:rFonts w:ascii="Times New Roman" w:hAnsi="Times New Roman" w:cs="Times New Roman"/>
          <w:b/>
          <w:bCs/>
          <w:lang w:val="sr-Cyrl-RS"/>
        </w:rPr>
      </w:pPr>
      <w:r w:rsidRPr="00E901BA">
        <w:rPr>
          <w:rFonts w:ascii="Times New Roman" w:hAnsi="Times New Roman" w:cs="Times New Roman"/>
          <w:b/>
          <w:bCs/>
        </w:rPr>
        <w:t>Питање</w:t>
      </w:r>
      <w:r w:rsidRPr="00E901BA">
        <w:rPr>
          <w:rFonts w:ascii="Times New Roman" w:hAnsi="Times New Roman" w:cs="Times New Roman"/>
          <w:b/>
          <w:bCs/>
          <w:lang w:val="sr-Cyrl-RS"/>
        </w:rPr>
        <w:t>:</w:t>
      </w:r>
    </w:p>
    <w:p w:rsidR="000D7096" w:rsidRPr="00E901BA" w:rsidRDefault="000D7096" w:rsidP="000D7096">
      <w:pPr>
        <w:pStyle w:val="Default"/>
        <w:rPr>
          <w:rFonts w:ascii="Times New Roman" w:hAnsi="Times New Roman" w:cs="Times New Roman"/>
        </w:rPr>
      </w:pPr>
      <w:r w:rsidRPr="00E901BA">
        <w:rPr>
          <w:rFonts w:ascii="Times New Roman" w:hAnsi="Times New Roman" w:cs="Times New Roman"/>
          <w:bCs/>
        </w:rPr>
        <w:t xml:space="preserve"> </w:t>
      </w:r>
    </w:p>
    <w:p w:rsidR="000D7096" w:rsidRPr="00E901BA" w:rsidRDefault="000D7096" w:rsidP="00E901BA">
      <w:pPr>
        <w:pStyle w:val="Default"/>
        <w:jc w:val="both"/>
        <w:rPr>
          <w:rFonts w:ascii="Times New Roman" w:hAnsi="Times New Roman" w:cs="Times New Roman"/>
        </w:rPr>
      </w:pPr>
      <w:r w:rsidRPr="00E901BA">
        <w:rPr>
          <w:rFonts w:ascii="Times New Roman" w:hAnsi="Times New Roman" w:cs="Times New Roman"/>
        </w:rPr>
        <w:t xml:space="preserve">Тачка 10.2. Конкурсне документације захтева да се уз понуду достави оригинал писмо о намерама банке за издавање банкарске гаранције за: </w:t>
      </w:r>
    </w:p>
    <w:p w:rsidR="000D7096" w:rsidRPr="00E901BA" w:rsidRDefault="000D7096" w:rsidP="00E901BA">
      <w:pPr>
        <w:pStyle w:val="Default"/>
        <w:spacing w:after="254"/>
        <w:jc w:val="both"/>
        <w:rPr>
          <w:rFonts w:ascii="Times New Roman" w:hAnsi="Times New Roman" w:cs="Times New Roman"/>
        </w:rPr>
      </w:pPr>
      <w:r w:rsidRPr="00E901BA">
        <w:rPr>
          <w:rFonts w:ascii="Times New Roman" w:hAnsi="Times New Roman" w:cs="Times New Roman"/>
        </w:rPr>
        <w:t xml:space="preserve">- Повраћај авансног плаћања </w:t>
      </w:r>
    </w:p>
    <w:p w:rsidR="000D7096" w:rsidRPr="00E901BA" w:rsidRDefault="000D7096" w:rsidP="00E901BA">
      <w:pPr>
        <w:pStyle w:val="Default"/>
        <w:spacing w:after="254"/>
        <w:jc w:val="both"/>
        <w:rPr>
          <w:rFonts w:ascii="Times New Roman" w:hAnsi="Times New Roman" w:cs="Times New Roman"/>
        </w:rPr>
      </w:pPr>
      <w:r w:rsidRPr="00E901BA">
        <w:rPr>
          <w:rFonts w:ascii="Times New Roman" w:hAnsi="Times New Roman" w:cs="Times New Roman"/>
        </w:rPr>
        <w:t xml:space="preserve">- Добро и квалитетно извршење посла </w:t>
      </w:r>
    </w:p>
    <w:p w:rsidR="000D7096" w:rsidRPr="00E901BA" w:rsidRDefault="000D7096" w:rsidP="00E901BA">
      <w:pPr>
        <w:pStyle w:val="Default"/>
        <w:jc w:val="both"/>
        <w:rPr>
          <w:rFonts w:ascii="Times New Roman" w:hAnsi="Times New Roman" w:cs="Times New Roman"/>
        </w:rPr>
      </w:pPr>
      <w:r w:rsidRPr="00E901BA">
        <w:rPr>
          <w:rFonts w:ascii="Times New Roman" w:hAnsi="Times New Roman" w:cs="Times New Roman"/>
        </w:rPr>
        <w:t xml:space="preserve">- Отклањање недостатака у гарантном року </w:t>
      </w:r>
    </w:p>
    <w:p w:rsidR="000D7096" w:rsidRPr="00E901BA" w:rsidRDefault="000D7096" w:rsidP="00E901BA">
      <w:pPr>
        <w:pStyle w:val="Default"/>
        <w:jc w:val="both"/>
        <w:rPr>
          <w:rFonts w:ascii="Times New Roman" w:hAnsi="Times New Roman" w:cs="Times New Roman"/>
        </w:rPr>
      </w:pPr>
    </w:p>
    <w:p w:rsidR="000D7096" w:rsidRPr="00E901BA" w:rsidRDefault="000D7096" w:rsidP="00E901BA">
      <w:pPr>
        <w:pStyle w:val="Default"/>
        <w:jc w:val="both"/>
        <w:rPr>
          <w:rFonts w:ascii="Times New Roman" w:hAnsi="Times New Roman" w:cs="Times New Roman"/>
        </w:rPr>
      </w:pPr>
      <w:r w:rsidRPr="00E901BA">
        <w:rPr>
          <w:rFonts w:ascii="Times New Roman" w:hAnsi="Times New Roman" w:cs="Times New Roman"/>
        </w:rPr>
        <w:t xml:space="preserve">Гаранције морају бити безусловне, неопозиве ''без приговора и на први позив''. Писмо не сме бити ограничено роком трајања (датумом) и не сме имати наведени рок трајања банкарске гаранције односно датум истека важности уговора, као ни садржину која се односи на политику банке и одредницу да писмо не представља даљу обавезу за банку као гаранта. </w:t>
      </w:r>
    </w:p>
    <w:p w:rsidR="000D7096" w:rsidRPr="00E901BA" w:rsidRDefault="000D7096" w:rsidP="00E901BA">
      <w:pPr>
        <w:pStyle w:val="Default"/>
        <w:jc w:val="both"/>
        <w:rPr>
          <w:rFonts w:ascii="Times New Roman" w:hAnsi="Times New Roman" w:cs="Times New Roman"/>
        </w:rPr>
      </w:pPr>
      <w:r w:rsidRPr="00E901BA">
        <w:rPr>
          <w:rFonts w:ascii="Times New Roman" w:hAnsi="Times New Roman" w:cs="Times New Roman"/>
        </w:rPr>
        <w:t xml:space="preserve">Ми смо депоненти високо цењене, првокласне банке. Наша банка Писма о намерама, издата на начин како се захтева Конкурсном документацијом да су обaвезујућа и да немају рок трајања, сматра да је банкарска гаранција већ емитована тим писмима. </w:t>
      </w:r>
    </w:p>
    <w:p w:rsidR="000D7096" w:rsidRPr="00E901BA" w:rsidRDefault="000D7096" w:rsidP="00E901BA">
      <w:pPr>
        <w:pStyle w:val="Default"/>
        <w:jc w:val="both"/>
        <w:rPr>
          <w:rFonts w:ascii="Times New Roman" w:hAnsi="Times New Roman" w:cs="Times New Roman"/>
        </w:rPr>
      </w:pPr>
      <w:r w:rsidRPr="00E901BA">
        <w:rPr>
          <w:rFonts w:ascii="Times New Roman" w:hAnsi="Times New Roman" w:cs="Times New Roman"/>
        </w:rPr>
        <w:t xml:space="preserve">Молимо да омогућите да уместо два писма о намери издавања банкарских гаранција за добро извршење посла и за отклањање недостатака у гарантном року, дамо једно писмо о намери за издавање гаранције за добро извршење посла која прераста након завршетка посла у гаранцију за отклањање недостатака у гарантном периоду. Таква пракса већ постоји у другим компанијама, између осталих и у НИС-у. </w:t>
      </w:r>
    </w:p>
    <w:p w:rsidR="000D7096" w:rsidRPr="00E901BA" w:rsidRDefault="000D7096" w:rsidP="00E901BA">
      <w:pPr>
        <w:pStyle w:val="Default"/>
        <w:jc w:val="both"/>
        <w:rPr>
          <w:rFonts w:ascii="Times New Roman" w:hAnsi="Times New Roman" w:cs="Times New Roman"/>
        </w:rPr>
      </w:pPr>
      <w:r w:rsidRPr="00E901BA">
        <w:rPr>
          <w:rFonts w:ascii="Times New Roman" w:hAnsi="Times New Roman" w:cs="Times New Roman"/>
        </w:rPr>
        <w:t xml:space="preserve">Већ је речено да наша банка писмо о намери банке издавања гаранције о повраћају аванса рачуна као дату гаранцију. На тај начин се при давању понуде врши имобилизација обртних средстава свих понуђача у значајном износу и тиме директно утиче на пословни потенцијал понуђача. Ово доводи до непотребног блокирања обртних средстава свих понуђача. Тај захтев објективно умањује број потенцијалних понуђача што ће довести до смањења конкуренције, консеквентно до уговарања по неповољнијим комерцијалним условима. </w:t>
      </w:r>
    </w:p>
    <w:p w:rsidR="002761E6" w:rsidRDefault="002761E6" w:rsidP="000D7096">
      <w:pPr>
        <w:pStyle w:val="Default"/>
        <w:rPr>
          <w:rFonts w:ascii="Times New Roman" w:hAnsi="Times New Roman" w:cs="Times New Roman"/>
          <w:b/>
        </w:rPr>
      </w:pPr>
    </w:p>
    <w:p w:rsidR="003B2E78" w:rsidRDefault="003B2E78" w:rsidP="000D7096">
      <w:pPr>
        <w:pStyle w:val="Default"/>
        <w:rPr>
          <w:rFonts w:ascii="Times New Roman" w:hAnsi="Times New Roman" w:cs="Times New Roman"/>
          <w:b/>
        </w:rPr>
      </w:pPr>
    </w:p>
    <w:p w:rsidR="003B2E78" w:rsidRPr="00E901BA" w:rsidRDefault="003B2E78" w:rsidP="000D7096">
      <w:pPr>
        <w:pStyle w:val="Default"/>
        <w:rPr>
          <w:rFonts w:ascii="Times New Roman" w:hAnsi="Times New Roman" w:cs="Times New Roman"/>
          <w:b/>
        </w:rPr>
      </w:pPr>
    </w:p>
    <w:p w:rsidR="00E14B5A" w:rsidRDefault="00E901BA" w:rsidP="00E901BA">
      <w:pPr>
        <w:pStyle w:val="Default"/>
        <w:jc w:val="both"/>
        <w:rPr>
          <w:rFonts w:ascii="Times New Roman" w:hAnsi="Times New Roman" w:cs="Times New Roman"/>
          <w:lang w:val="sr-Cyrl-RS"/>
        </w:rPr>
      </w:pPr>
      <w:r w:rsidRPr="00E901BA">
        <w:rPr>
          <w:rFonts w:ascii="Times New Roman" w:hAnsi="Times New Roman" w:cs="Times New Roman"/>
          <w:b/>
          <w:lang w:val="sr-Cyrl-RS"/>
        </w:rPr>
        <w:lastRenderedPageBreak/>
        <w:t>Одговор:</w:t>
      </w:r>
      <w:r w:rsidRPr="00E901BA">
        <w:rPr>
          <w:rFonts w:ascii="Times New Roman" w:hAnsi="Times New Roman" w:cs="Times New Roman"/>
          <w:lang w:val="sr-Cyrl-RS"/>
        </w:rPr>
        <w:t xml:space="preserve"> </w:t>
      </w:r>
    </w:p>
    <w:p w:rsidR="00E14B5A" w:rsidRDefault="00E14B5A" w:rsidP="00E901BA">
      <w:pPr>
        <w:pStyle w:val="Default"/>
        <w:jc w:val="both"/>
        <w:rPr>
          <w:rFonts w:ascii="Times New Roman" w:hAnsi="Times New Roman" w:cs="Times New Roman"/>
          <w:lang w:val="sr-Cyrl-RS"/>
        </w:rPr>
      </w:pPr>
    </w:p>
    <w:p w:rsidR="00E14B5A" w:rsidRPr="00E14B5A" w:rsidRDefault="00E14B5A" w:rsidP="00E14B5A">
      <w:pPr>
        <w:pStyle w:val="Default"/>
        <w:jc w:val="both"/>
        <w:rPr>
          <w:rFonts w:ascii="Times New Roman" w:hAnsi="Times New Roman" w:cs="Times New Roman"/>
          <w:lang w:val="sr-Cyrl-RS"/>
        </w:rPr>
      </w:pPr>
      <w:r w:rsidRPr="00E14B5A">
        <w:rPr>
          <w:rFonts w:ascii="Times New Roman" w:hAnsi="Times New Roman" w:cs="Times New Roman"/>
          <w:lang w:val="sr-Cyrl-RS"/>
        </w:rPr>
        <w:t>Везано за наведено питање, Наручилац је изменио конкурсну документацију и измену поставио на Портал Управе за јавне набавке и на сајт Дирекције.</w:t>
      </w:r>
    </w:p>
    <w:p w:rsidR="00E14B5A" w:rsidRDefault="00E14B5A" w:rsidP="00E901BA">
      <w:pPr>
        <w:pStyle w:val="Default"/>
        <w:jc w:val="both"/>
        <w:rPr>
          <w:rFonts w:ascii="Times New Roman" w:hAnsi="Times New Roman" w:cs="Times New Roman"/>
          <w:lang w:val="sr-Cyrl-RS"/>
        </w:rPr>
      </w:pPr>
    </w:p>
    <w:p w:rsidR="000D7096" w:rsidRDefault="00E901BA" w:rsidP="00E901BA">
      <w:pPr>
        <w:pStyle w:val="Default"/>
        <w:jc w:val="both"/>
        <w:rPr>
          <w:rFonts w:ascii="Times New Roman" w:hAnsi="Times New Roman" w:cs="Times New Roman"/>
          <w:b/>
          <w:bCs/>
        </w:rPr>
      </w:pPr>
      <w:r w:rsidRPr="00E901BA">
        <w:rPr>
          <w:rFonts w:ascii="Times New Roman" w:hAnsi="Times New Roman" w:cs="Times New Roman"/>
          <w:b/>
          <w:lang w:val="sr-Cyrl-RS"/>
        </w:rPr>
        <w:t>П</w:t>
      </w:r>
      <w:r w:rsidR="000D7096" w:rsidRPr="00E901BA">
        <w:rPr>
          <w:rFonts w:ascii="Times New Roman" w:hAnsi="Times New Roman" w:cs="Times New Roman"/>
          <w:b/>
          <w:bCs/>
        </w:rPr>
        <w:t>итање</w:t>
      </w:r>
      <w:r w:rsidRPr="00E901BA">
        <w:rPr>
          <w:rFonts w:ascii="Times New Roman" w:hAnsi="Times New Roman" w:cs="Times New Roman"/>
          <w:b/>
          <w:bCs/>
        </w:rPr>
        <w:t>:</w:t>
      </w:r>
      <w:r w:rsidR="000D7096" w:rsidRPr="00E901BA">
        <w:rPr>
          <w:rFonts w:ascii="Times New Roman" w:hAnsi="Times New Roman" w:cs="Times New Roman"/>
          <w:b/>
          <w:bCs/>
        </w:rPr>
        <w:t xml:space="preserve"> </w:t>
      </w:r>
    </w:p>
    <w:p w:rsidR="00E901BA" w:rsidRPr="00E901BA" w:rsidRDefault="00E901BA" w:rsidP="00E901BA">
      <w:pPr>
        <w:pStyle w:val="Default"/>
        <w:jc w:val="both"/>
        <w:rPr>
          <w:rFonts w:ascii="Times New Roman" w:hAnsi="Times New Roman" w:cs="Times New Roman"/>
          <w:b/>
        </w:rPr>
      </w:pPr>
    </w:p>
    <w:p w:rsidR="000D7096" w:rsidRPr="00E901BA" w:rsidRDefault="000D7096" w:rsidP="00E901BA">
      <w:pPr>
        <w:pStyle w:val="Default"/>
        <w:jc w:val="both"/>
        <w:rPr>
          <w:rFonts w:ascii="Times New Roman" w:hAnsi="Times New Roman" w:cs="Times New Roman"/>
        </w:rPr>
      </w:pPr>
      <w:r w:rsidRPr="00E901BA">
        <w:rPr>
          <w:rFonts w:ascii="Times New Roman" w:hAnsi="Times New Roman" w:cs="Times New Roman"/>
        </w:rPr>
        <w:t xml:space="preserve">Предлогом уговора из Конкурсне документације је предвиђена уплата аванса у року од 45 дана по достављању гаранције за повраћај аванса. </w:t>
      </w:r>
    </w:p>
    <w:p w:rsidR="000D7096" w:rsidRDefault="000D7096" w:rsidP="00E901BA">
      <w:pPr>
        <w:pStyle w:val="Default"/>
        <w:jc w:val="both"/>
        <w:rPr>
          <w:rFonts w:ascii="Times New Roman" w:hAnsi="Times New Roman" w:cs="Times New Roman"/>
        </w:rPr>
      </w:pPr>
      <w:r w:rsidRPr="00E901BA">
        <w:rPr>
          <w:rFonts w:ascii="Times New Roman" w:hAnsi="Times New Roman" w:cs="Times New Roman"/>
        </w:rPr>
        <w:t xml:space="preserve">Предлажемо да исплата авансног износа буде најкасније у року од седам дана по потписивању Уговора и подношења контрагаранције за уговорени аванс. Напомињемо да авансана уплата не подлеже законском року плаћања од 45 дана, што је обавеза плаћања Јавних предузећа након издавања фактура. </w:t>
      </w:r>
    </w:p>
    <w:p w:rsidR="00E901BA" w:rsidRDefault="00E901BA" w:rsidP="00E901BA">
      <w:pPr>
        <w:pStyle w:val="Default"/>
        <w:jc w:val="both"/>
        <w:rPr>
          <w:rFonts w:ascii="Times New Roman" w:hAnsi="Times New Roman" w:cs="Times New Roman"/>
        </w:rPr>
      </w:pPr>
    </w:p>
    <w:p w:rsidR="00E901BA" w:rsidRPr="00E901BA" w:rsidRDefault="00E901BA" w:rsidP="00E901BA">
      <w:pPr>
        <w:pStyle w:val="Default"/>
        <w:jc w:val="both"/>
        <w:rPr>
          <w:rFonts w:ascii="Times New Roman" w:hAnsi="Times New Roman" w:cs="Times New Roman"/>
        </w:rPr>
      </w:pPr>
    </w:p>
    <w:p w:rsidR="00E14B5A" w:rsidRPr="00E901BA" w:rsidRDefault="00E901BA" w:rsidP="00E14B5A">
      <w:pPr>
        <w:pStyle w:val="Default"/>
        <w:jc w:val="both"/>
        <w:rPr>
          <w:rFonts w:ascii="Times New Roman" w:hAnsi="Times New Roman" w:cs="Times New Roman"/>
          <w:lang w:val="sr-Cyrl-RS"/>
        </w:rPr>
      </w:pPr>
      <w:r w:rsidRPr="00E14B5A">
        <w:rPr>
          <w:rFonts w:ascii="Times New Roman" w:hAnsi="Times New Roman" w:cs="Times New Roman"/>
          <w:b/>
          <w:lang w:val="sr-Cyrl-RS"/>
        </w:rPr>
        <w:t>Одговор:</w:t>
      </w:r>
      <w:r>
        <w:rPr>
          <w:lang w:val="sr-Cyrl-RS"/>
        </w:rPr>
        <w:t xml:space="preserve"> </w:t>
      </w:r>
      <w:r w:rsidR="00E14B5A">
        <w:rPr>
          <w:rFonts w:ascii="Times New Roman" w:hAnsi="Times New Roman" w:cs="Times New Roman"/>
          <w:lang w:val="sr-Cyrl-RS"/>
        </w:rPr>
        <w:t>Наручилац у свему остаје при условима датим у Конкурсној документацији, односно да ће плаћање извршити у року до 45 дана.</w:t>
      </w:r>
    </w:p>
    <w:p w:rsidR="00182B3B" w:rsidRPr="008546AF" w:rsidRDefault="00182B3B" w:rsidP="008546AF">
      <w:pPr>
        <w:jc w:val="both"/>
        <w:rPr>
          <w:lang w:val="sr-Cyrl-RS"/>
        </w:rPr>
      </w:pPr>
    </w:p>
    <w:sectPr w:rsidR="00182B3B" w:rsidRPr="008546AF" w:rsidSect="000D7096">
      <w:pgSz w:w="11906" w:h="16838"/>
      <w:pgMar w:top="85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3B"/>
    <w:rsid w:val="00090258"/>
    <w:rsid w:val="000D7096"/>
    <w:rsid w:val="001358F6"/>
    <w:rsid w:val="00182B3B"/>
    <w:rsid w:val="001F77D0"/>
    <w:rsid w:val="00206762"/>
    <w:rsid w:val="002124C0"/>
    <w:rsid w:val="002761E6"/>
    <w:rsid w:val="00304758"/>
    <w:rsid w:val="0036128D"/>
    <w:rsid w:val="003B2E78"/>
    <w:rsid w:val="00587D1B"/>
    <w:rsid w:val="00607F9A"/>
    <w:rsid w:val="006A2D60"/>
    <w:rsid w:val="006E33A7"/>
    <w:rsid w:val="0078013E"/>
    <w:rsid w:val="007913C3"/>
    <w:rsid w:val="007B7963"/>
    <w:rsid w:val="00840A45"/>
    <w:rsid w:val="008546AF"/>
    <w:rsid w:val="008C599F"/>
    <w:rsid w:val="00913AB5"/>
    <w:rsid w:val="009D3BCF"/>
    <w:rsid w:val="009F3581"/>
    <w:rsid w:val="00AF3998"/>
    <w:rsid w:val="00B64DC0"/>
    <w:rsid w:val="00B7233F"/>
    <w:rsid w:val="00DC7599"/>
    <w:rsid w:val="00E14B5A"/>
    <w:rsid w:val="00E901BA"/>
    <w:rsid w:val="00F255CF"/>
    <w:rsid w:val="00F32E16"/>
    <w:rsid w:val="00F80D4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CA5E8-D519-4FD1-B382-7B97A908E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3B"/>
    <w:pPr>
      <w:suppressAutoHyphens/>
      <w:spacing w:after="0" w:line="240" w:lineRule="auto"/>
    </w:pPr>
    <w:rPr>
      <w:rFonts w:ascii="Times New Roman" w:eastAsia="Times New Roman" w:hAnsi="Times New Roman" w:cs="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7D0"/>
    <w:rPr>
      <w:rFonts w:ascii="Segoe UI" w:eastAsia="Times New Roman" w:hAnsi="Segoe UI" w:cs="Segoe UI"/>
      <w:sz w:val="18"/>
      <w:szCs w:val="18"/>
      <w:lang w:val="en-US" w:eastAsia="ar-SA"/>
    </w:rPr>
  </w:style>
  <w:style w:type="paragraph" w:styleId="ListParagraph">
    <w:name w:val="List Paragraph"/>
    <w:basedOn w:val="Normal"/>
    <w:uiPriority w:val="34"/>
    <w:qFormat/>
    <w:rsid w:val="000D7096"/>
    <w:pPr>
      <w:suppressAutoHyphens w:val="0"/>
      <w:spacing w:after="160" w:line="252" w:lineRule="auto"/>
      <w:ind w:left="720"/>
      <w:contextualSpacing/>
    </w:pPr>
    <w:rPr>
      <w:rFonts w:ascii="Calibri" w:eastAsiaTheme="minorHAnsi" w:hAnsi="Calibri"/>
      <w:sz w:val="22"/>
      <w:szCs w:val="22"/>
      <w:lang w:val="sr-Latn-RS" w:eastAsia="sr-Latn-RS"/>
    </w:rPr>
  </w:style>
  <w:style w:type="paragraph" w:customStyle="1" w:styleId="Default">
    <w:name w:val="Default"/>
    <w:rsid w:val="000D709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376A8-E4F6-46C9-BE8F-E72F9DE9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Janjić</dc:creator>
  <cp:keywords/>
  <dc:description/>
  <cp:lastModifiedBy>Svetlana Mitrović</cp:lastModifiedBy>
  <cp:revision>2</cp:revision>
  <cp:lastPrinted>2017-06-30T07:02:00Z</cp:lastPrinted>
  <dcterms:created xsi:type="dcterms:W3CDTF">2017-06-30T12:26:00Z</dcterms:created>
  <dcterms:modified xsi:type="dcterms:W3CDTF">2017-06-30T12:26:00Z</dcterms:modified>
</cp:coreProperties>
</file>